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58" w:rsidRDefault="00D44108" w:rsidP="004D0554">
      <w:pPr>
        <w:spacing w:afterLines="50" w:after="180" w:line="360" w:lineRule="exact"/>
        <w:jc w:val="center"/>
        <w:rPr>
          <w:rFonts w:ascii="Times New Roman" w:eastAsia="標楷體" w:hAnsi="Times New Roman" w:cs="Times New Roman"/>
          <w:b/>
          <w:sz w:val="32"/>
          <w:szCs w:val="32"/>
        </w:rPr>
      </w:pPr>
      <w:bookmarkStart w:id="0" w:name="_GoBack"/>
      <w:r>
        <w:rPr>
          <w:rFonts w:ascii="Times New Roman" w:eastAsia="標楷體" w:hAnsi="Times New Roman" w:cs="Times New Roman" w:hint="eastAsia"/>
          <w:b/>
          <w:sz w:val="32"/>
          <w:szCs w:val="32"/>
        </w:rPr>
        <w:t>外交部</w:t>
      </w:r>
      <w:r w:rsidR="00994185" w:rsidRPr="006F1333">
        <w:rPr>
          <w:rFonts w:ascii="Times New Roman" w:eastAsia="標楷體" w:hAnsi="Times New Roman" w:cs="Times New Roman"/>
          <w:b/>
          <w:sz w:val="32"/>
          <w:szCs w:val="32"/>
        </w:rPr>
        <w:t>1</w:t>
      </w:r>
      <w:r w:rsidR="00501C40" w:rsidRPr="006F1333">
        <w:rPr>
          <w:rFonts w:ascii="Times New Roman" w:eastAsia="標楷體" w:hAnsi="Times New Roman" w:cs="Times New Roman"/>
          <w:b/>
          <w:sz w:val="32"/>
          <w:szCs w:val="32"/>
        </w:rPr>
        <w:t>1</w:t>
      </w:r>
      <w:r w:rsidR="003D4261">
        <w:rPr>
          <w:rFonts w:ascii="Times New Roman" w:eastAsia="標楷體" w:hAnsi="Times New Roman" w:cs="Times New Roman" w:hint="eastAsia"/>
          <w:b/>
          <w:sz w:val="32"/>
          <w:szCs w:val="32"/>
        </w:rPr>
        <w:t>3</w:t>
      </w:r>
      <w:r w:rsidR="00501C40" w:rsidRPr="006F1333">
        <w:rPr>
          <w:rFonts w:ascii="Times New Roman" w:eastAsia="標楷體" w:hAnsi="Times New Roman" w:cs="Times New Roman"/>
          <w:b/>
          <w:sz w:val="32"/>
          <w:szCs w:val="32"/>
        </w:rPr>
        <w:t>年</w:t>
      </w:r>
      <w:r w:rsidR="00B7667A" w:rsidRPr="006F1333">
        <w:rPr>
          <w:rFonts w:ascii="Times New Roman" w:eastAsia="標楷體" w:hAnsi="Times New Roman" w:cs="Times New Roman"/>
          <w:b/>
          <w:sz w:val="32"/>
          <w:szCs w:val="32"/>
        </w:rPr>
        <w:t>「</w:t>
      </w:r>
      <w:r w:rsidR="00501C40" w:rsidRPr="006F1333">
        <w:rPr>
          <w:rFonts w:ascii="Times New Roman" w:eastAsia="標楷體" w:hAnsi="Times New Roman" w:cs="Times New Roman"/>
          <w:b/>
          <w:sz w:val="32"/>
          <w:szCs w:val="32"/>
        </w:rPr>
        <w:t>駐點計畫</w:t>
      </w:r>
      <w:r w:rsidR="00B7667A" w:rsidRPr="006F1333">
        <w:rPr>
          <w:rFonts w:ascii="Times New Roman" w:eastAsia="標楷體" w:hAnsi="Times New Roman" w:cs="Times New Roman"/>
          <w:b/>
          <w:sz w:val="32"/>
          <w:szCs w:val="32"/>
        </w:rPr>
        <w:t>」</w:t>
      </w:r>
      <w:r w:rsidR="00501C40" w:rsidRPr="006F1333">
        <w:rPr>
          <w:rFonts w:ascii="Times New Roman" w:eastAsia="標楷體" w:hAnsi="Times New Roman" w:cs="Times New Roman"/>
          <w:b/>
          <w:sz w:val="32"/>
          <w:szCs w:val="32"/>
        </w:rPr>
        <w:t>研究</w:t>
      </w:r>
      <w:r w:rsidR="001338B7">
        <w:rPr>
          <w:rFonts w:ascii="Times New Roman" w:eastAsia="標楷體" w:hAnsi="Times New Roman" w:cs="Times New Roman" w:hint="eastAsia"/>
          <w:b/>
          <w:sz w:val="32"/>
          <w:szCs w:val="32"/>
        </w:rPr>
        <w:t>主題及子題</w:t>
      </w:r>
      <w:bookmarkEnd w:id="0"/>
    </w:p>
    <w:tbl>
      <w:tblPr>
        <w:tblStyle w:val="a7"/>
        <w:tblW w:w="10490" w:type="dxa"/>
        <w:tblInd w:w="-329" w:type="dxa"/>
        <w:tblLook w:val="04A0" w:firstRow="1" w:lastRow="0" w:firstColumn="1" w:lastColumn="0" w:noHBand="0" w:noVBand="1"/>
      </w:tblPr>
      <w:tblGrid>
        <w:gridCol w:w="710"/>
        <w:gridCol w:w="8505"/>
        <w:gridCol w:w="1275"/>
      </w:tblGrid>
      <w:tr w:rsidR="004D0554" w:rsidRPr="004D0554" w:rsidTr="004D0554">
        <w:trPr>
          <w:trHeight w:val="85"/>
        </w:trPr>
        <w:tc>
          <w:tcPr>
            <w:tcW w:w="710" w:type="dxa"/>
            <w:tcBorders>
              <w:top w:val="thickThinSmallGap" w:sz="24" w:space="0" w:color="auto"/>
              <w:left w:val="thickThinSmallGap" w:sz="24" w:space="0" w:color="auto"/>
              <w:bottom w:val="single" w:sz="12" w:space="0" w:color="auto"/>
            </w:tcBorders>
            <w:vAlign w:val="center"/>
          </w:tcPr>
          <w:p w:rsidR="004D0554" w:rsidRPr="004D0554" w:rsidRDefault="004D0554" w:rsidP="004D0554">
            <w:pPr>
              <w:snapToGrid w:val="0"/>
              <w:spacing w:line="260" w:lineRule="exact"/>
              <w:jc w:val="center"/>
              <w:rPr>
                <w:rFonts w:ascii="Times New Roman" w:eastAsia="標楷體" w:hAnsi="Times New Roman" w:cs="Times New Roman"/>
                <w:b/>
                <w:szCs w:val="24"/>
              </w:rPr>
            </w:pPr>
            <w:r w:rsidRPr="004D0554">
              <w:rPr>
                <w:rFonts w:ascii="Times New Roman" w:eastAsia="標楷體" w:hAnsi="Times New Roman" w:cs="Times New Roman"/>
                <w:b/>
                <w:szCs w:val="24"/>
              </w:rPr>
              <w:t>主題</w:t>
            </w:r>
          </w:p>
        </w:tc>
        <w:tc>
          <w:tcPr>
            <w:tcW w:w="8505" w:type="dxa"/>
            <w:tcBorders>
              <w:top w:val="thickThinSmallGap" w:sz="24" w:space="0" w:color="auto"/>
              <w:bottom w:val="single" w:sz="12" w:space="0" w:color="auto"/>
            </w:tcBorders>
            <w:vAlign w:val="center"/>
          </w:tcPr>
          <w:p w:rsidR="004D0554" w:rsidRPr="004D0554" w:rsidRDefault="004D0554" w:rsidP="004D0554">
            <w:pPr>
              <w:snapToGrid w:val="0"/>
              <w:spacing w:line="260" w:lineRule="exact"/>
              <w:jc w:val="center"/>
              <w:rPr>
                <w:rFonts w:ascii="Times New Roman" w:eastAsia="標楷體" w:hAnsi="Times New Roman" w:cs="Times New Roman"/>
                <w:b/>
                <w:szCs w:val="24"/>
              </w:rPr>
            </w:pPr>
            <w:r w:rsidRPr="004D0554">
              <w:rPr>
                <w:rFonts w:ascii="Times New Roman" w:eastAsia="標楷體" w:hAnsi="Times New Roman" w:cs="Times New Roman"/>
                <w:b/>
                <w:szCs w:val="24"/>
              </w:rPr>
              <w:t>研究議題</w:t>
            </w:r>
          </w:p>
        </w:tc>
        <w:tc>
          <w:tcPr>
            <w:tcW w:w="1275" w:type="dxa"/>
            <w:tcBorders>
              <w:top w:val="thickThinSmallGap" w:sz="24" w:space="0" w:color="auto"/>
              <w:bottom w:val="single" w:sz="12" w:space="0" w:color="auto"/>
              <w:right w:val="thinThickSmallGap" w:sz="24" w:space="0" w:color="auto"/>
            </w:tcBorders>
            <w:vAlign w:val="center"/>
          </w:tcPr>
          <w:p w:rsidR="004D0554" w:rsidRPr="004D0554" w:rsidRDefault="004D0554" w:rsidP="004D0554">
            <w:pPr>
              <w:snapToGrid w:val="0"/>
              <w:spacing w:line="260" w:lineRule="exact"/>
              <w:jc w:val="center"/>
              <w:rPr>
                <w:rFonts w:ascii="Times New Roman" w:eastAsia="標楷體" w:hAnsi="Times New Roman" w:cs="Times New Roman"/>
                <w:b/>
                <w:szCs w:val="24"/>
              </w:rPr>
            </w:pPr>
            <w:r w:rsidRPr="004D0554">
              <w:rPr>
                <w:rFonts w:ascii="Times New Roman" w:eastAsia="標楷體" w:hAnsi="Times New Roman" w:cs="Times New Roman"/>
                <w:b/>
                <w:szCs w:val="24"/>
              </w:rPr>
              <w:t>建議單位</w:t>
            </w:r>
          </w:p>
        </w:tc>
      </w:tr>
      <w:tr w:rsidR="004D0554" w:rsidRPr="004D0554" w:rsidTr="004D0554">
        <w:trPr>
          <w:trHeight w:val="276"/>
        </w:trPr>
        <w:tc>
          <w:tcPr>
            <w:tcW w:w="710" w:type="dxa"/>
            <w:vMerge w:val="restart"/>
            <w:tcBorders>
              <w:top w:val="double" w:sz="12" w:space="0" w:color="auto"/>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r w:rsidRPr="004D0554">
              <w:rPr>
                <w:rFonts w:ascii="Times New Roman" w:eastAsia="標楷體" w:hAnsi="Times New Roman" w:cs="Times New Roman"/>
                <w:b/>
                <w:szCs w:val="24"/>
              </w:rPr>
              <w:t>我國對外關係</w:t>
            </w:r>
          </w:p>
        </w:tc>
        <w:tc>
          <w:tcPr>
            <w:tcW w:w="8505" w:type="dxa"/>
            <w:tcBorders>
              <w:top w:val="double" w:sz="12"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我國參與重要區域國際組織之機會</w:t>
            </w:r>
          </w:p>
        </w:tc>
        <w:tc>
          <w:tcPr>
            <w:tcW w:w="1275" w:type="dxa"/>
            <w:tcBorders>
              <w:top w:val="double" w:sz="12"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拉美司</w:t>
            </w:r>
          </w:p>
        </w:tc>
      </w:tr>
      <w:tr w:rsidR="004D0554" w:rsidRPr="004D0554" w:rsidTr="004D0554">
        <w:trPr>
          <w:trHeight w:val="133"/>
        </w:trPr>
        <w:tc>
          <w:tcPr>
            <w:tcW w:w="710" w:type="dxa"/>
            <w:vMerge/>
            <w:tcBorders>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拉美及加海友邦各界對台灣在當地推動各項合作計畫之看法及評論</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拉美司</w:t>
            </w:r>
          </w:p>
        </w:tc>
      </w:tr>
      <w:tr w:rsidR="004D0554" w:rsidRPr="004D0554" w:rsidTr="004D0554">
        <w:trPr>
          <w:trHeight w:val="58"/>
        </w:trPr>
        <w:tc>
          <w:tcPr>
            <w:tcW w:w="710" w:type="dxa"/>
            <w:vMerge/>
            <w:tcBorders>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如何反制中國圖謀我在中美洲區域國際組織之會籍。</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拉美司</w:t>
            </w:r>
          </w:p>
        </w:tc>
      </w:tr>
      <w:tr w:rsidR="004D0554" w:rsidRPr="004D0554" w:rsidTr="004D0554">
        <w:trPr>
          <w:trHeight w:val="58"/>
        </w:trPr>
        <w:tc>
          <w:tcPr>
            <w:tcW w:w="710" w:type="dxa"/>
            <w:vMerge/>
            <w:tcBorders>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台灣與南高加索三國發展關係之策略研究</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亞非司</w:t>
            </w:r>
          </w:p>
        </w:tc>
      </w:tr>
      <w:tr w:rsidR="004D0554" w:rsidRPr="004D0554" w:rsidTr="004D0554">
        <w:trPr>
          <w:trHeight w:val="131"/>
        </w:trPr>
        <w:tc>
          <w:tcPr>
            <w:tcW w:w="710" w:type="dxa"/>
            <w:vMerge/>
            <w:tcBorders>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台灣與中亞五國關係發展之策略研究</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亞非司</w:t>
            </w:r>
          </w:p>
        </w:tc>
      </w:tr>
      <w:tr w:rsidR="004D0554" w:rsidRPr="004D0554" w:rsidTr="004D0554">
        <w:trPr>
          <w:trHeight w:val="111"/>
        </w:trPr>
        <w:tc>
          <w:tcPr>
            <w:tcW w:w="710" w:type="dxa"/>
            <w:vMerge/>
            <w:tcBorders>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我國推動「新南向政策」成果之研究</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亞太司</w:t>
            </w:r>
          </w:p>
        </w:tc>
      </w:tr>
      <w:tr w:rsidR="004D0554" w:rsidRPr="004D0554" w:rsidTr="004D0554">
        <w:trPr>
          <w:trHeight w:val="58"/>
        </w:trPr>
        <w:tc>
          <w:tcPr>
            <w:tcW w:w="710" w:type="dxa"/>
            <w:vMerge/>
            <w:tcBorders>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台灣推動加入</w:t>
            </w:r>
            <w:r w:rsidRPr="004D0554">
              <w:rPr>
                <w:rFonts w:ascii="Times New Roman" w:eastAsia="標楷體" w:hAnsi="Times New Roman" w:cs="Times New Roman"/>
                <w:szCs w:val="24"/>
              </w:rPr>
              <w:t>CPTPP</w:t>
            </w:r>
            <w:r w:rsidRPr="004D0554">
              <w:rPr>
                <w:rFonts w:ascii="Times New Roman" w:eastAsia="標楷體" w:hAnsi="Times New Roman" w:cs="Times New Roman"/>
                <w:szCs w:val="24"/>
              </w:rPr>
              <w:t>之挑戰與策略</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國經司</w:t>
            </w:r>
          </w:p>
        </w:tc>
      </w:tr>
      <w:tr w:rsidR="004D0554" w:rsidRPr="004D0554" w:rsidTr="004D0554">
        <w:trPr>
          <w:trHeight w:val="210"/>
        </w:trPr>
        <w:tc>
          <w:tcPr>
            <w:tcW w:w="710" w:type="dxa"/>
            <w:vMerge/>
            <w:tcBorders>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英國加入</w:t>
            </w:r>
            <w:r w:rsidRPr="004D0554">
              <w:rPr>
                <w:rFonts w:ascii="Times New Roman" w:eastAsia="標楷體" w:hAnsi="Times New Roman" w:cs="Times New Roman"/>
                <w:szCs w:val="24"/>
              </w:rPr>
              <w:t>CPTPP</w:t>
            </w:r>
            <w:r w:rsidRPr="004D0554">
              <w:rPr>
                <w:rFonts w:ascii="Times New Roman" w:eastAsia="標楷體" w:hAnsi="Times New Roman" w:cs="Times New Roman"/>
                <w:szCs w:val="24"/>
              </w:rPr>
              <w:t>對台灣入會申請案之機會與挑戰</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國經司</w:t>
            </w:r>
          </w:p>
        </w:tc>
      </w:tr>
      <w:tr w:rsidR="004D0554" w:rsidRPr="004D0554" w:rsidTr="004D0554">
        <w:trPr>
          <w:trHeight w:val="210"/>
        </w:trPr>
        <w:tc>
          <w:tcPr>
            <w:tcW w:w="710" w:type="dxa"/>
            <w:vMerge/>
            <w:tcBorders>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我邦交國經濟發展條件優勢及具投資潛力產業之分析與建議</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國經司</w:t>
            </w:r>
          </w:p>
        </w:tc>
      </w:tr>
      <w:tr w:rsidR="004D0554" w:rsidRPr="004D0554" w:rsidTr="004D0554">
        <w:trPr>
          <w:trHeight w:val="64"/>
        </w:trPr>
        <w:tc>
          <w:tcPr>
            <w:tcW w:w="710" w:type="dxa"/>
            <w:vMerge/>
            <w:tcBorders>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中國經濟脅迫對我邦交國及理念相近國家之影響</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研設會</w:t>
            </w:r>
          </w:p>
        </w:tc>
      </w:tr>
      <w:tr w:rsidR="004D0554" w:rsidRPr="004D0554" w:rsidTr="004D0554">
        <w:trPr>
          <w:trHeight w:val="20"/>
        </w:trPr>
        <w:tc>
          <w:tcPr>
            <w:tcW w:w="710" w:type="dxa"/>
            <w:vMerge w:val="restart"/>
            <w:tcBorders>
              <w:top w:val="double" w:sz="12" w:space="0" w:color="auto"/>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r w:rsidRPr="004D0554">
              <w:rPr>
                <w:rFonts w:ascii="Times New Roman" w:eastAsia="標楷體" w:hAnsi="Times New Roman" w:cs="Times New Roman"/>
                <w:b/>
                <w:szCs w:val="24"/>
              </w:rPr>
              <w:t>印太戰略</w:t>
            </w:r>
          </w:p>
        </w:tc>
        <w:tc>
          <w:tcPr>
            <w:tcW w:w="8505" w:type="dxa"/>
            <w:tcBorders>
              <w:top w:val="double" w:sz="12"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非洲在印太戰略中之角色</w:t>
            </w:r>
          </w:p>
        </w:tc>
        <w:tc>
          <w:tcPr>
            <w:tcW w:w="1275" w:type="dxa"/>
            <w:tcBorders>
              <w:top w:val="double" w:sz="12"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亞非司</w:t>
            </w:r>
          </w:p>
        </w:tc>
      </w:tr>
      <w:tr w:rsidR="004D0554" w:rsidRPr="004D0554" w:rsidTr="004D0554">
        <w:trPr>
          <w:trHeight w:val="20"/>
        </w:trPr>
        <w:tc>
          <w:tcPr>
            <w:tcW w:w="710" w:type="dxa"/>
            <w:vMerge/>
            <w:tcBorders>
              <w:top w:val="double" w:sz="12" w:space="0" w:color="auto"/>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「澳英美三方安全夥伴」（</w:t>
            </w:r>
            <w:r w:rsidRPr="004D0554">
              <w:rPr>
                <w:rFonts w:ascii="Times New Roman" w:eastAsia="標楷體" w:hAnsi="Times New Roman" w:cs="Times New Roman"/>
                <w:szCs w:val="24"/>
              </w:rPr>
              <w:t>AUKUS</w:t>
            </w:r>
            <w:r w:rsidRPr="004D0554">
              <w:rPr>
                <w:rFonts w:ascii="Times New Roman" w:eastAsia="標楷體" w:hAnsi="Times New Roman" w:cs="Times New Roman"/>
                <w:szCs w:val="24"/>
              </w:rPr>
              <w:t>）發展前景、對印太區域地緣政治之影響及我方參與契機</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亞太司</w:t>
            </w:r>
          </w:p>
        </w:tc>
      </w:tr>
      <w:tr w:rsidR="004D0554" w:rsidRPr="004D0554" w:rsidTr="004D0554">
        <w:trPr>
          <w:trHeight w:val="20"/>
        </w:trPr>
        <w:tc>
          <w:tcPr>
            <w:tcW w:w="710" w:type="dxa"/>
            <w:vMerge/>
            <w:tcBorders>
              <w:top w:val="double" w:sz="12" w:space="0" w:color="auto"/>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法國「印太戰略」演進及與我建立區域合作之展望</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歐洲司</w:t>
            </w:r>
          </w:p>
        </w:tc>
      </w:tr>
      <w:tr w:rsidR="004D0554" w:rsidRPr="004D0554" w:rsidTr="004D0554">
        <w:trPr>
          <w:trHeight w:val="20"/>
        </w:trPr>
        <w:tc>
          <w:tcPr>
            <w:tcW w:w="710" w:type="dxa"/>
            <w:vMerge/>
            <w:tcBorders>
              <w:top w:val="double" w:sz="12" w:space="0" w:color="auto"/>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英國印太戰略研析及對中政策之變化。</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歐洲司</w:t>
            </w:r>
          </w:p>
        </w:tc>
      </w:tr>
      <w:tr w:rsidR="004D0554" w:rsidRPr="004D0554" w:rsidTr="004D0554">
        <w:trPr>
          <w:trHeight w:val="55"/>
        </w:trPr>
        <w:tc>
          <w:tcPr>
            <w:tcW w:w="710" w:type="dxa"/>
            <w:vMerge/>
            <w:tcBorders>
              <w:left w:val="thickThinSmallGap" w:sz="24" w:space="0" w:color="auto"/>
              <w:bottom w:val="double" w:sz="12"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double" w:sz="12"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中東歐各國印太戰略之研析及對台海情勢之影響</w:t>
            </w:r>
          </w:p>
        </w:tc>
        <w:tc>
          <w:tcPr>
            <w:tcW w:w="1275" w:type="dxa"/>
            <w:tcBorders>
              <w:top w:val="single" w:sz="4" w:space="0" w:color="auto"/>
              <w:bottom w:val="double" w:sz="12"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歐洲司</w:t>
            </w:r>
          </w:p>
        </w:tc>
      </w:tr>
      <w:tr w:rsidR="004D0554" w:rsidRPr="004D0554" w:rsidTr="004D0554">
        <w:trPr>
          <w:trHeight w:val="286"/>
        </w:trPr>
        <w:tc>
          <w:tcPr>
            <w:tcW w:w="710" w:type="dxa"/>
            <w:vMerge w:val="restart"/>
            <w:tcBorders>
              <w:top w:val="double" w:sz="12" w:space="0" w:color="auto"/>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r w:rsidRPr="004D0554">
              <w:rPr>
                <w:rFonts w:ascii="Times New Roman" w:eastAsia="標楷體" w:hAnsi="Times New Roman" w:cs="Times New Roman"/>
                <w:b/>
                <w:szCs w:val="24"/>
              </w:rPr>
              <w:t>美中競逐</w:t>
            </w:r>
          </w:p>
        </w:tc>
        <w:tc>
          <w:tcPr>
            <w:tcW w:w="8505" w:type="dxa"/>
            <w:tcBorders>
              <w:top w:val="double" w:sz="12"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中美在中東競逐及台灣因應之道研析</w:t>
            </w:r>
          </w:p>
        </w:tc>
        <w:tc>
          <w:tcPr>
            <w:tcW w:w="1275" w:type="dxa"/>
            <w:tcBorders>
              <w:top w:val="double" w:sz="12"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亞非司</w:t>
            </w:r>
          </w:p>
        </w:tc>
      </w:tr>
      <w:tr w:rsidR="004D0554" w:rsidRPr="004D0554" w:rsidTr="004D0554">
        <w:trPr>
          <w:trHeight w:val="55"/>
        </w:trPr>
        <w:tc>
          <w:tcPr>
            <w:tcW w:w="710" w:type="dxa"/>
            <w:vMerge/>
            <w:tcBorders>
              <w:left w:val="thickThinSmallGap" w:sz="24" w:space="0" w:color="auto"/>
              <w:bottom w:val="double" w:sz="12"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double" w:sz="12"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美中在東南亞競逐及我國可著力處</w:t>
            </w:r>
          </w:p>
        </w:tc>
        <w:tc>
          <w:tcPr>
            <w:tcW w:w="1275" w:type="dxa"/>
            <w:tcBorders>
              <w:top w:val="single" w:sz="4" w:space="0" w:color="auto"/>
              <w:bottom w:val="double" w:sz="12"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亞太司</w:t>
            </w:r>
          </w:p>
        </w:tc>
      </w:tr>
      <w:tr w:rsidR="004D0554" w:rsidRPr="004D0554" w:rsidTr="004D0554">
        <w:trPr>
          <w:trHeight w:val="135"/>
        </w:trPr>
        <w:tc>
          <w:tcPr>
            <w:tcW w:w="710" w:type="dxa"/>
            <w:vMerge w:val="restart"/>
            <w:tcBorders>
              <w:top w:val="double" w:sz="12"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r w:rsidRPr="004D0554">
              <w:rPr>
                <w:rFonts w:ascii="Times New Roman" w:eastAsia="標楷體" w:hAnsi="Times New Roman" w:cs="Times New Roman"/>
                <w:b/>
                <w:szCs w:val="24"/>
              </w:rPr>
              <w:t>中國對外關係</w:t>
            </w:r>
          </w:p>
        </w:tc>
        <w:tc>
          <w:tcPr>
            <w:tcW w:w="8505" w:type="dxa"/>
            <w:tcBorders>
              <w:top w:val="double" w:sz="12"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台美合作因應中國資訊戰</w:t>
            </w:r>
          </w:p>
        </w:tc>
        <w:tc>
          <w:tcPr>
            <w:tcW w:w="1275" w:type="dxa"/>
            <w:tcBorders>
              <w:top w:val="double" w:sz="12"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外交學院</w:t>
            </w:r>
          </w:p>
        </w:tc>
      </w:tr>
      <w:tr w:rsidR="004D0554" w:rsidRPr="004D0554" w:rsidTr="004D0554">
        <w:trPr>
          <w:trHeight w:val="241"/>
        </w:trPr>
        <w:tc>
          <w:tcPr>
            <w:tcW w:w="710" w:type="dxa"/>
            <w:vMerge/>
            <w:tcBorders>
              <w:top w:val="single" w:sz="4"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中國「一帶一路」倡議在非洲之機會與挑戰</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亞非司</w:t>
            </w:r>
          </w:p>
        </w:tc>
      </w:tr>
      <w:tr w:rsidR="004D0554" w:rsidRPr="004D0554" w:rsidTr="004D0554">
        <w:trPr>
          <w:trHeight w:val="273"/>
        </w:trPr>
        <w:tc>
          <w:tcPr>
            <w:tcW w:w="710" w:type="dxa"/>
            <w:vMerge/>
            <w:tcBorders>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中國加碼在南海灰色地帶行動對區域戰爭風險提升之分析以及我國因應之道</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亞太司</w:t>
            </w:r>
          </w:p>
        </w:tc>
      </w:tr>
      <w:tr w:rsidR="004D0554" w:rsidRPr="004D0554" w:rsidTr="004D0554">
        <w:trPr>
          <w:trHeight w:val="273"/>
        </w:trPr>
        <w:tc>
          <w:tcPr>
            <w:tcW w:w="710" w:type="dxa"/>
            <w:vMerge/>
            <w:tcBorders>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中國輸出「習思想」擴大在多邊場域不當影響力之案例研究</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國組司</w:t>
            </w:r>
          </w:p>
        </w:tc>
      </w:tr>
      <w:tr w:rsidR="004D0554" w:rsidRPr="004D0554" w:rsidTr="004D0554">
        <w:trPr>
          <w:trHeight w:val="237"/>
        </w:trPr>
        <w:tc>
          <w:tcPr>
            <w:tcW w:w="710" w:type="dxa"/>
            <w:vMerge/>
            <w:tcBorders>
              <w:left w:val="thickThinSmallGap" w:sz="24" w:space="0" w:color="auto"/>
              <w:bottom w:val="double" w:sz="12"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double" w:sz="12"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中國人民解放軍在海外布局</w:t>
            </w:r>
          </w:p>
        </w:tc>
        <w:tc>
          <w:tcPr>
            <w:tcW w:w="1275" w:type="dxa"/>
            <w:tcBorders>
              <w:top w:val="single" w:sz="4" w:space="0" w:color="auto"/>
              <w:bottom w:val="double" w:sz="12"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研設會</w:t>
            </w:r>
          </w:p>
        </w:tc>
      </w:tr>
      <w:tr w:rsidR="00C86D6A" w:rsidRPr="004D0554" w:rsidTr="004D0554">
        <w:trPr>
          <w:trHeight w:val="52"/>
        </w:trPr>
        <w:tc>
          <w:tcPr>
            <w:tcW w:w="710" w:type="dxa"/>
            <w:vMerge w:val="restart"/>
            <w:tcBorders>
              <w:top w:val="double" w:sz="12" w:space="0" w:color="auto"/>
              <w:left w:val="thickThinSmallGap" w:sz="24" w:space="0" w:color="auto"/>
              <w:bottom w:val="single" w:sz="4" w:space="0" w:color="auto"/>
            </w:tcBorders>
            <w:vAlign w:val="center"/>
          </w:tcPr>
          <w:p w:rsidR="00C86D6A" w:rsidRPr="004D0554" w:rsidRDefault="00C86D6A" w:rsidP="00C86D6A">
            <w:pPr>
              <w:snapToGrid w:val="0"/>
              <w:spacing w:line="260" w:lineRule="exact"/>
              <w:jc w:val="both"/>
              <w:rPr>
                <w:rFonts w:ascii="Times New Roman" w:eastAsia="標楷體" w:hAnsi="Times New Roman" w:cs="Times New Roman"/>
                <w:b/>
                <w:szCs w:val="24"/>
              </w:rPr>
            </w:pPr>
            <w:r w:rsidRPr="004D0554">
              <w:rPr>
                <w:rFonts w:ascii="Times New Roman" w:eastAsia="標楷體" w:hAnsi="Times New Roman" w:cs="Times New Roman"/>
                <w:b/>
                <w:szCs w:val="24"/>
              </w:rPr>
              <w:t>全球及區域經濟</w:t>
            </w:r>
          </w:p>
        </w:tc>
        <w:tc>
          <w:tcPr>
            <w:tcW w:w="8505" w:type="dxa"/>
            <w:tcBorders>
              <w:top w:val="double" w:sz="12" w:space="0" w:color="auto"/>
            </w:tcBorders>
            <w:vAlign w:val="center"/>
          </w:tcPr>
          <w:p w:rsidR="00C86D6A" w:rsidRPr="00B25D9F" w:rsidRDefault="00C86D6A" w:rsidP="00C86D6A">
            <w:pPr>
              <w:spacing w:line="2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全球經濟安全與反經濟脅迫政策發展及我國意涵及參與模式研究</w:t>
            </w:r>
          </w:p>
        </w:tc>
        <w:tc>
          <w:tcPr>
            <w:tcW w:w="1275" w:type="dxa"/>
            <w:tcBorders>
              <w:top w:val="double" w:sz="12" w:space="0" w:color="auto"/>
              <w:right w:val="thinThickSmallGap" w:sz="24" w:space="0" w:color="auto"/>
            </w:tcBorders>
            <w:vAlign w:val="center"/>
          </w:tcPr>
          <w:p w:rsidR="00C86D6A" w:rsidRPr="00B25D9F" w:rsidRDefault="00C86D6A" w:rsidP="00C86D6A">
            <w:pPr>
              <w:spacing w:line="2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李政務次長淳</w:t>
            </w:r>
          </w:p>
        </w:tc>
      </w:tr>
      <w:tr w:rsidR="00C86D6A" w:rsidRPr="004D0554" w:rsidTr="004D0554">
        <w:trPr>
          <w:trHeight w:val="271"/>
        </w:trPr>
        <w:tc>
          <w:tcPr>
            <w:tcW w:w="710" w:type="dxa"/>
            <w:vMerge/>
            <w:tcBorders>
              <w:top w:val="double" w:sz="4" w:space="0" w:color="auto"/>
              <w:left w:val="thickThinSmallGap" w:sz="24" w:space="0" w:color="auto"/>
              <w:bottom w:val="single" w:sz="4" w:space="0" w:color="auto"/>
            </w:tcBorders>
            <w:vAlign w:val="center"/>
          </w:tcPr>
          <w:p w:rsidR="00C86D6A" w:rsidRPr="004D0554" w:rsidRDefault="00C86D6A" w:rsidP="00C86D6A">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single" w:sz="4" w:space="0" w:color="auto"/>
            </w:tcBorders>
            <w:vAlign w:val="center"/>
          </w:tcPr>
          <w:p w:rsidR="00C86D6A" w:rsidRPr="004D0554" w:rsidRDefault="00C86D6A" w:rsidP="00C86D6A">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美中產業競合與台灣經濟前景研析</w:t>
            </w:r>
          </w:p>
        </w:tc>
        <w:tc>
          <w:tcPr>
            <w:tcW w:w="1275" w:type="dxa"/>
            <w:tcBorders>
              <w:top w:val="single" w:sz="4" w:space="0" w:color="auto"/>
              <w:bottom w:val="single" w:sz="4" w:space="0" w:color="auto"/>
              <w:right w:val="thinThickSmallGap" w:sz="24" w:space="0" w:color="auto"/>
            </w:tcBorders>
            <w:vAlign w:val="center"/>
          </w:tcPr>
          <w:p w:rsidR="00C86D6A" w:rsidRPr="004D0554" w:rsidRDefault="00C86D6A" w:rsidP="00C86D6A">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外交學院</w:t>
            </w:r>
          </w:p>
        </w:tc>
      </w:tr>
      <w:tr w:rsidR="004D0554" w:rsidRPr="004D0554" w:rsidTr="004D0554">
        <w:trPr>
          <w:trHeight w:val="271"/>
        </w:trPr>
        <w:tc>
          <w:tcPr>
            <w:tcW w:w="710" w:type="dxa"/>
            <w:vMerge/>
            <w:tcBorders>
              <w:top w:val="double" w:sz="4"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中東歐投</w:t>
            </w:r>
            <w:r w:rsidRPr="004D0554">
              <w:rPr>
                <w:rFonts w:ascii="Times New Roman" w:eastAsia="標楷體" w:hAnsi="Times New Roman" w:cs="Times New Roman"/>
                <w:szCs w:val="24"/>
              </w:rPr>
              <w:t>(</w:t>
            </w:r>
            <w:r w:rsidRPr="004D0554">
              <w:rPr>
                <w:rFonts w:ascii="Times New Roman" w:eastAsia="標楷體" w:hAnsi="Times New Roman" w:cs="Times New Roman"/>
                <w:szCs w:val="24"/>
              </w:rPr>
              <w:t>融</w:t>
            </w:r>
            <w:r w:rsidRPr="004D0554">
              <w:rPr>
                <w:rFonts w:ascii="Times New Roman" w:eastAsia="標楷體" w:hAnsi="Times New Roman" w:cs="Times New Roman"/>
                <w:szCs w:val="24"/>
              </w:rPr>
              <w:t>)</w:t>
            </w:r>
            <w:r w:rsidRPr="004D0554">
              <w:rPr>
                <w:rFonts w:ascii="Times New Roman" w:eastAsia="標楷體" w:hAnsi="Times New Roman" w:cs="Times New Roman"/>
                <w:szCs w:val="24"/>
              </w:rPr>
              <w:t>資基金對我國外交戰略影響研析</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外交學院</w:t>
            </w:r>
          </w:p>
        </w:tc>
      </w:tr>
      <w:tr w:rsidR="004D0554" w:rsidRPr="004D0554" w:rsidTr="004D0554">
        <w:trPr>
          <w:trHeight w:val="90"/>
        </w:trPr>
        <w:tc>
          <w:tcPr>
            <w:tcW w:w="710" w:type="dxa"/>
            <w:vMerge/>
            <w:tcBorders>
              <w:top w:val="double" w:sz="4"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金磚組織擴員及其對全球南方合作之影響</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亞非司</w:t>
            </w:r>
          </w:p>
        </w:tc>
      </w:tr>
      <w:tr w:rsidR="004D0554" w:rsidRPr="004D0554" w:rsidTr="004D0554">
        <w:trPr>
          <w:trHeight w:val="90"/>
        </w:trPr>
        <w:tc>
          <w:tcPr>
            <w:tcW w:w="710" w:type="dxa"/>
            <w:vMerge/>
            <w:tcBorders>
              <w:top w:val="double" w:sz="4"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「印度</w:t>
            </w:r>
            <w:r w:rsidRPr="004D0554">
              <w:rPr>
                <w:rFonts w:ascii="Times New Roman" w:eastAsia="標楷體" w:hAnsi="Times New Roman" w:cs="Times New Roman"/>
                <w:szCs w:val="24"/>
              </w:rPr>
              <w:t>-</w:t>
            </w:r>
            <w:r w:rsidRPr="004D0554">
              <w:rPr>
                <w:rFonts w:ascii="Times New Roman" w:eastAsia="標楷體" w:hAnsi="Times New Roman" w:cs="Times New Roman"/>
                <w:szCs w:val="24"/>
              </w:rPr>
              <w:t>中東</w:t>
            </w:r>
            <w:r w:rsidRPr="004D0554">
              <w:rPr>
                <w:rFonts w:ascii="Times New Roman" w:eastAsia="標楷體" w:hAnsi="Times New Roman" w:cs="Times New Roman"/>
                <w:szCs w:val="24"/>
              </w:rPr>
              <w:t>-</w:t>
            </w:r>
            <w:r w:rsidRPr="004D0554">
              <w:rPr>
                <w:rFonts w:ascii="Times New Roman" w:eastAsia="標楷體" w:hAnsi="Times New Roman" w:cs="Times New Roman"/>
                <w:szCs w:val="24"/>
              </w:rPr>
              <w:t>歐洲經濟走廊」（</w:t>
            </w:r>
            <w:r w:rsidRPr="004D0554">
              <w:rPr>
                <w:rFonts w:ascii="Times New Roman" w:eastAsia="標楷體" w:hAnsi="Times New Roman" w:cs="Times New Roman"/>
                <w:szCs w:val="24"/>
              </w:rPr>
              <w:t>IMEC</w:t>
            </w:r>
            <w:r w:rsidRPr="004D0554">
              <w:rPr>
                <w:rFonts w:ascii="Times New Roman" w:eastAsia="標楷體" w:hAnsi="Times New Roman" w:cs="Times New Roman"/>
                <w:szCs w:val="24"/>
              </w:rPr>
              <w:t>）倡議前景及其對印太區域之影響</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亞太司</w:t>
            </w:r>
          </w:p>
        </w:tc>
      </w:tr>
      <w:tr w:rsidR="004D0554" w:rsidRPr="004D0554" w:rsidTr="004D0554">
        <w:trPr>
          <w:trHeight w:val="90"/>
        </w:trPr>
        <w:tc>
          <w:tcPr>
            <w:tcW w:w="710" w:type="dxa"/>
            <w:vMerge/>
            <w:tcBorders>
              <w:top w:val="double" w:sz="4"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在數位浪潮下我國如何與第三國在我邦交國合作發展</w:t>
            </w:r>
            <w:r w:rsidRPr="004D0554">
              <w:rPr>
                <w:rFonts w:ascii="Times New Roman" w:eastAsia="標楷體" w:hAnsi="Times New Roman" w:cs="Times New Roman"/>
                <w:szCs w:val="24"/>
              </w:rPr>
              <w:t>5G</w:t>
            </w:r>
            <w:r w:rsidRPr="004D0554">
              <w:rPr>
                <w:rFonts w:ascii="Times New Roman" w:eastAsia="標楷體" w:hAnsi="Times New Roman" w:cs="Times New Roman"/>
                <w:szCs w:val="24"/>
              </w:rPr>
              <w:t>產業</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國經司</w:t>
            </w:r>
          </w:p>
        </w:tc>
      </w:tr>
      <w:tr w:rsidR="004D0554" w:rsidRPr="004D0554" w:rsidTr="004D0554">
        <w:trPr>
          <w:trHeight w:val="90"/>
        </w:trPr>
        <w:tc>
          <w:tcPr>
            <w:tcW w:w="710" w:type="dxa"/>
            <w:vMerge/>
            <w:tcBorders>
              <w:top w:val="double" w:sz="4"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台歐盟洽簽經貿協定之機會與挑戰</w:t>
            </w:r>
            <w:r w:rsidRPr="004D0554">
              <w:rPr>
                <w:rFonts w:ascii="Times New Roman" w:eastAsia="標楷體" w:hAnsi="Times New Roman" w:cs="Times New Roman"/>
                <w:szCs w:val="24"/>
              </w:rPr>
              <w:t>(</w:t>
            </w:r>
            <w:r w:rsidRPr="004D0554">
              <w:rPr>
                <w:rFonts w:ascii="Times New Roman" w:eastAsia="標楷體" w:hAnsi="Times New Roman" w:cs="Times New Roman"/>
                <w:szCs w:val="24"/>
              </w:rPr>
              <w:t>我國對外關係</w:t>
            </w:r>
            <w:r w:rsidRPr="004D0554">
              <w:rPr>
                <w:rFonts w:ascii="Times New Roman" w:eastAsia="標楷體" w:hAnsi="Times New Roman" w:cs="Times New Roman"/>
                <w:szCs w:val="24"/>
              </w:rPr>
              <w:t>)</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歐洲司</w:t>
            </w:r>
          </w:p>
        </w:tc>
      </w:tr>
      <w:tr w:rsidR="004D0554" w:rsidRPr="004D0554" w:rsidTr="004D0554">
        <w:trPr>
          <w:trHeight w:val="90"/>
        </w:trPr>
        <w:tc>
          <w:tcPr>
            <w:tcW w:w="710" w:type="dxa"/>
            <w:vMerge/>
            <w:tcBorders>
              <w:top w:val="double" w:sz="4"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波海國家發展與我國之觀光（立陶宛）及科技經貿（拉脫維亞及愛沙尼亞）之潛力研析</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歐洲司</w:t>
            </w:r>
          </w:p>
        </w:tc>
      </w:tr>
      <w:tr w:rsidR="004D0554" w:rsidRPr="004D0554" w:rsidTr="004D0554">
        <w:trPr>
          <w:trHeight w:val="90"/>
        </w:trPr>
        <w:tc>
          <w:tcPr>
            <w:tcW w:w="710" w:type="dxa"/>
            <w:vMerge/>
            <w:tcBorders>
              <w:top w:val="double" w:sz="4"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美中在全球關鍵科技供應鏈布局與競逐及其對我國之意涵</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北美司</w:t>
            </w:r>
          </w:p>
        </w:tc>
      </w:tr>
      <w:tr w:rsidR="004D0554" w:rsidRPr="004D0554" w:rsidTr="004D0554">
        <w:trPr>
          <w:trHeight w:val="90"/>
        </w:trPr>
        <w:tc>
          <w:tcPr>
            <w:tcW w:w="710" w:type="dxa"/>
            <w:vMerge/>
            <w:tcBorders>
              <w:top w:val="double" w:sz="4"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全球經濟安全與應對經濟脅迫之協作與應處及其對我國之意涵</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北美司</w:t>
            </w:r>
          </w:p>
        </w:tc>
      </w:tr>
      <w:tr w:rsidR="004D0554" w:rsidRPr="004D0554" w:rsidTr="004D0554">
        <w:trPr>
          <w:trHeight w:val="35"/>
        </w:trPr>
        <w:tc>
          <w:tcPr>
            <w:tcW w:w="710" w:type="dxa"/>
            <w:vMerge/>
            <w:tcBorders>
              <w:top w:val="double" w:sz="4" w:space="0" w:color="auto"/>
              <w:left w:val="thickThinSmallGap" w:sz="24" w:space="0" w:color="auto"/>
              <w:bottom w:val="double" w:sz="12"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bottom w:val="double" w:sz="12"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美中科技供應鏈脫鉤對我國產業外移中國之影響</w:t>
            </w:r>
          </w:p>
        </w:tc>
        <w:tc>
          <w:tcPr>
            <w:tcW w:w="1275" w:type="dxa"/>
            <w:tcBorders>
              <w:top w:val="single" w:sz="4" w:space="0" w:color="auto"/>
              <w:bottom w:val="double" w:sz="12"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研設會</w:t>
            </w:r>
          </w:p>
        </w:tc>
      </w:tr>
      <w:tr w:rsidR="004D0554" w:rsidRPr="004D0554" w:rsidTr="004D0554">
        <w:trPr>
          <w:trHeight w:val="375"/>
        </w:trPr>
        <w:tc>
          <w:tcPr>
            <w:tcW w:w="710" w:type="dxa"/>
            <w:vMerge w:val="restart"/>
            <w:tcBorders>
              <w:top w:val="double" w:sz="4" w:space="0" w:color="auto"/>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r w:rsidRPr="004D0554">
              <w:rPr>
                <w:rFonts w:ascii="Times New Roman" w:eastAsia="標楷體" w:hAnsi="Times New Roman" w:cs="Times New Roman"/>
                <w:b/>
                <w:szCs w:val="24"/>
              </w:rPr>
              <w:t>歐洲國家對外關係</w:t>
            </w:r>
          </w:p>
        </w:tc>
        <w:tc>
          <w:tcPr>
            <w:tcW w:w="8505" w:type="dxa"/>
            <w:tcBorders>
              <w:top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當前歐盟對中政策及歐中關係前景</w:t>
            </w:r>
            <w:r w:rsidRPr="004D0554">
              <w:rPr>
                <w:rFonts w:ascii="Times New Roman" w:eastAsia="標楷體" w:hAnsi="Times New Roman" w:cs="Times New Roman"/>
                <w:szCs w:val="24"/>
              </w:rPr>
              <w:t>(</w:t>
            </w:r>
            <w:r w:rsidRPr="004D0554">
              <w:rPr>
                <w:rFonts w:ascii="Times New Roman" w:eastAsia="標楷體" w:hAnsi="Times New Roman" w:cs="Times New Roman"/>
                <w:szCs w:val="24"/>
              </w:rPr>
              <w:t>中國對外關係</w:t>
            </w:r>
            <w:r w:rsidRPr="004D0554">
              <w:rPr>
                <w:rFonts w:ascii="Times New Roman" w:eastAsia="標楷體" w:hAnsi="Times New Roman" w:cs="Times New Roman"/>
                <w:szCs w:val="24"/>
              </w:rPr>
              <w:t>)</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歐洲司</w:t>
            </w:r>
          </w:p>
        </w:tc>
      </w:tr>
      <w:tr w:rsidR="004D0554" w:rsidRPr="004D0554" w:rsidTr="004D0554">
        <w:trPr>
          <w:trHeight w:val="375"/>
        </w:trPr>
        <w:tc>
          <w:tcPr>
            <w:tcW w:w="710" w:type="dxa"/>
            <w:vMerge/>
            <w:tcBorders>
              <w:top w:val="double" w:sz="4" w:space="0" w:color="auto"/>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top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義大利倘退出「帶路倡議」後之政經貿布局及對我意義</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歐洲司</w:t>
            </w:r>
          </w:p>
        </w:tc>
      </w:tr>
      <w:tr w:rsidR="004D0554" w:rsidRPr="004D0554" w:rsidTr="004D0554">
        <w:trPr>
          <w:trHeight w:val="375"/>
        </w:trPr>
        <w:tc>
          <w:tcPr>
            <w:tcW w:w="710" w:type="dxa"/>
            <w:vMerge/>
            <w:tcBorders>
              <w:left w:val="thickThin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中東歐各國選舉對我國之影響</w:t>
            </w:r>
          </w:p>
        </w:tc>
        <w:tc>
          <w:tcPr>
            <w:tcW w:w="1275" w:type="dxa"/>
            <w:tcBorders>
              <w:top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歐洲司</w:t>
            </w:r>
          </w:p>
        </w:tc>
      </w:tr>
      <w:tr w:rsidR="004D0554" w:rsidRPr="004D0554" w:rsidTr="004D0554">
        <w:trPr>
          <w:trHeight w:val="19"/>
        </w:trPr>
        <w:tc>
          <w:tcPr>
            <w:tcW w:w="710" w:type="dxa"/>
            <w:vMerge w:val="restart"/>
            <w:tcBorders>
              <w:top w:val="double" w:sz="12" w:space="0" w:color="auto"/>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r w:rsidRPr="004D0554">
              <w:rPr>
                <w:rFonts w:ascii="Times New Roman" w:eastAsia="標楷體" w:hAnsi="Times New Roman" w:cs="Times New Roman"/>
                <w:b/>
                <w:szCs w:val="24"/>
              </w:rPr>
              <w:t>其他</w:t>
            </w:r>
          </w:p>
        </w:tc>
        <w:tc>
          <w:tcPr>
            <w:tcW w:w="8505" w:type="dxa"/>
            <w:tcBorders>
              <w:top w:val="double" w:sz="12" w:space="0" w:color="auto"/>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美中歐俄日在非洲之競合情形及對我影響</w:t>
            </w:r>
          </w:p>
        </w:tc>
        <w:tc>
          <w:tcPr>
            <w:tcW w:w="1275" w:type="dxa"/>
            <w:tcBorders>
              <w:top w:val="double" w:sz="12"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亞非司</w:t>
            </w:r>
          </w:p>
        </w:tc>
      </w:tr>
      <w:tr w:rsidR="004D0554" w:rsidRPr="004D0554" w:rsidTr="004D0554">
        <w:trPr>
          <w:trHeight w:val="183"/>
        </w:trPr>
        <w:tc>
          <w:tcPr>
            <w:tcW w:w="710" w:type="dxa"/>
            <w:vMerge/>
            <w:tcBorders>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非洲區域整合之挑戰與機會</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亞非司</w:t>
            </w:r>
          </w:p>
        </w:tc>
      </w:tr>
      <w:tr w:rsidR="004D0554" w:rsidRPr="004D0554" w:rsidTr="004D0554">
        <w:trPr>
          <w:trHeight w:val="68"/>
        </w:trPr>
        <w:tc>
          <w:tcPr>
            <w:tcW w:w="710" w:type="dxa"/>
            <w:vMerge/>
            <w:tcBorders>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美、澳、紐、日、中在太平洋地區之援助成果及政策研析</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亞太司</w:t>
            </w:r>
          </w:p>
        </w:tc>
      </w:tr>
      <w:tr w:rsidR="004D0554" w:rsidRPr="004D0554" w:rsidTr="004D0554">
        <w:trPr>
          <w:trHeight w:val="19"/>
        </w:trPr>
        <w:tc>
          <w:tcPr>
            <w:tcW w:w="710" w:type="dxa"/>
            <w:vMerge/>
            <w:tcBorders>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G20</w:t>
            </w:r>
            <w:r w:rsidRPr="004D0554">
              <w:rPr>
                <w:rFonts w:ascii="Times New Roman" w:eastAsia="標楷體" w:hAnsi="Times New Roman" w:cs="Times New Roman"/>
                <w:szCs w:val="24"/>
              </w:rPr>
              <w:t>領袖宣言有關氣候及能源討論對</w:t>
            </w:r>
            <w:r w:rsidRPr="004D0554">
              <w:rPr>
                <w:rFonts w:ascii="Times New Roman" w:eastAsia="標楷體" w:hAnsi="Times New Roman" w:cs="Times New Roman"/>
                <w:szCs w:val="24"/>
              </w:rPr>
              <w:t>APEC</w:t>
            </w:r>
            <w:r w:rsidRPr="004D0554">
              <w:rPr>
                <w:rFonts w:ascii="Times New Roman" w:eastAsia="標楷體" w:hAnsi="Times New Roman" w:cs="Times New Roman"/>
                <w:szCs w:val="24"/>
              </w:rPr>
              <w:t>相關議題之影響</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國組司</w:t>
            </w:r>
          </w:p>
        </w:tc>
      </w:tr>
      <w:tr w:rsidR="004D0554" w:rsidRPr="004D0554" w:rsidTr="004D0554">
        <w:trPr>
          <w:trHeight w:val="19"/>
        </w:trPr>
        <w:tc>
          <w:tcPr>
            <w:tcW w:w="710" w:type="dxa"/>
            <w:vMerge/>
            <w:tcBorders>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聯合理念相近國家共同反制中國之「一中」論述與法律戰對我國際空間之壓縮</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北美司</w:t>
            </w:r>
          </w:p>
        </w:tc>
      </w:tr>
      <w:tr w:rsidR="004D0554" w:rsidRPr="004D0554" w:rsidTr="004D0554">
        <w:trPr>
          <w:trHeight w:val="19"/>
        </w:trPr>
        <w:tc>
          <w:tcPr>
            <w:tcW w:w="710" w:type="dxa"/>
            <w:vMerge/>
            <w:tcBorders>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應處中國在民主國家多領域及多層次之滲透</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北美司</w:t>
            </w:r>
          </w:p>
        </w:tc>
      </w:tr>
      <w:tr w:rsidR="004D0554" w:rsidRPr="004D0554" w:rsidTr="004D0554">
        <w:trPr>
          <w:trHeight w:val="19"/>
        </w:trPr>
        <w:tc>
          <w:tcPr>
            <w:tcW w:w="710" w:type="dxa"/>
            <w:vMerge/>
            <w:tcBorders>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歐美等「外國假訊息操控」（</w:t>
            </w:r>
            <w:r w:rsidRPr="004D0554">
              <w:rPr>
                <w:rFonts w:ascii="Times New Roman" w:eastAsia="標楷體" w:hAnsi="Times New Roman" w:cs="Times New Roman"/>
                <w:szCs w:val="24"/>
              </w:rPr>
              <w:t>FIMI</w:t>
            </w:r>
            <w:r w:rsidRPr="004D0554">
              <w:rPr>
                <w:rFonts w:ascii="Times New Roman" w:eastAsia="標楷體" w:hAnsi="Times New Roman" w:cs="Times New Roman"/>
                <w:szCs w:val="24"/>
              </w:rPr>
              <w:t>）之研究及我國可借鏡或合作之處</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研設會</w:t>
            </w:r>
          </w:p>
        </w:tc>
      </w:tr>
      <w:tr w:rsidR="004D0554" w:rsidRPr="004D0554" w:rsidTr="004D0554">
        <w:trPr>
          <w:trHeight w:val="19"/>
        </w:trPr>
        <w:tc>
          <w:tcPr>
            <w:tcW w:w="710" w:type="dxa"/>
            <w:vMerge/>
            <w:tcBorders>
              <w:left w:val="thickThinSmallGap" w:sz="24" w:space="0" w:color="auto"/>
              <w:bottom w:val="single" w:sz="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single" w:sz="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同婚合法化之各國對外關係影響</w:t>
            </w:r>
          </w:p>
        </w:tc>
        <w:tc>
          <w:tcPr>
            <w:tcW w:w="1275" w:type="dxa"/>
            <w:tcBorders>
              <w:top w:val="single" w:sz="4" w:space="0" w:color="auto"/>
              <w:bottom w:val="single" w:sz="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研設會</w:t>
            </w:r>
          </w:p>
        </w:tc>
      </w:tr>
      <w:tr w:rsidR="004D0554" w:rsidRPr="004D0554" w:rsidTr="004D0554">
        <w:trPr>
          <w:trHeight w:val="19"/>
        </w:trPr>
        <w:tc>
          <w:tcPr>
            <w:tcW w:w="710" w:type="dxa"/>
            <w:vMerge/>
            <w:tcBorders>
              <w:left w:val="thickThinSmallGap" w:sz="24" w:space="0" w:color="auto"/>
              <w:bottom w:val="thinThickSmallGap" w:sz="24" w:space="0" w:color="auto"/>
            </w:tcBorders>
            <w:vAlign w:val="center"/>
          </w:tcPr>
          <w:p w:rsidR="004D0554" w:rsidRPr="004D0554" w:rsidRDefault="004D0554" w:rsidP="004D0554">
            <w:pPr>
              <w:snapToGrid w:val="0"/>
              <w:spacing w:line="260" w:lineRule="exact"/>
              <w:jc w:val="both"/>
              <w:rPr>
                <w:rFonts w:ascii="Times New Roman" w:eastAsia="標楷體" w:hAnsi="Times New Roman" w:cs="Times New Roman"/>
                <w:b/>
                <w:szCs w:val="24"/>
              </w:rPr>
            </w:pPr>
          </w:p>
        </w:tc>
        <w:tc>
          <w:tcPr>
            <w:tcW w:w="8505" w:type="dxa"/>
            <w:tcBorders>
              <w:bottom w:val="thinThickSmallGap" w:sz="24" w:space="0" w:color="auto"/>
            </w:tcBorders>
            <w:vAlign w:val="center"/>
          </w:tcPr>
          <w:p w:rsidR="004D0554" w:rsidRPr="004D0554" w:rsidRDefault="004D0554" w:rsidP="004D0554">
            <w:pPr>
              <w:spacing w:line="260" w:lineRule="exact"/>
              <w:jc w:val="both"/>
              <w:rPr>
                <w:rFonts w:ascii="Times New Roman" w:eastAsia="標楷體" w:hAnsi="Times New Roman" w:cs="Times New Roman"/>
                <w:szCs w:val="24"/>
              </w:rPr>
            </w:pPr>
            <w:r w:rsidRPr="004D0554">
              <w:rPr>
                <w:rFonts w:ascii="Times New Roman" w:eastAsia="標楷體" w:hAnsi="Times New Roman" w:cs="Times New Roman"/>
                <w:szCs w:val="24"/>
              </w:rPr>
              <w:t>政府開發援助與公眾外交成效</w:t>
            </w:r>
            <w:r w:rsidRPr="004D0554">
              <w:rPr>
                <w:rFonts w:ascii="Times New Roman" w:eastAsia="標楷體" w:hAnsi="Times New Roman" w:cs="Times New Roman"/>
                <w:szCs w:val="24"/>
              </w:rPr>
              <w:t>-</w:t>
            </w:r>
            <w:r w:rsidRPr="004D0554">
              <w:rPr>
                <w:rFonts w:ascii="Times New Roman" w:eastAsia="標楷體" w:hAnsi="Times New Roman" w:cs="Times New Roman"/>
                <w:szCs w:val="24"/>
              </w:rPr>
              <w:t>以獎學金為例</w:t>
            </w:r>
          </w:p>
        </w:tc>
        <w:tc>
          <w:tcPr>
            <w:tcW w:w="1275" w:type="dxa"/>
            <w:tcBorders>
              <w:top w:val="single" w:sz="4" w:space="0" w:color="auto"/>
              <w:bottom w:val="thinThickSmallGap" w:sz="24" w:space="0" w:color="auto"/>
              <w:right w:val="thinThickSmallGap" w:sz="24" w:space="0" w:color="auto"/>
            </w:tcBorders>
            <w:vAlign w:val="center"/>
          </w:tcPr>
          <w:p w:rsidR="004D0554" w:rsidRPr="004D0554" w:rsidRDefault="004D0554" w:rsidP="004D0554">
            <w:pPr>
              <w:spacing w:line="260" w:lineRule="exact"/>
              <w:jc w:val="center"/>
              <w:rPr>
                <w:rFonts w:ascii="Times New Roman" w:eastAsia="標楷體" w:hAnsi="Times New Roman" w:cs="Times New Roman"/>
                <w:szCs w:val="24"/>
              </w:rPr>
            </w:pPr>
            <w:r w:rsidRPr="004D0554">
              <w:rPr>
                <w:rFonts w:ascii="Times New Roman" w:eastAsia="標楷體" w:hAnsi="Times New Roman" w:cs="Times New Roman"/>
                <w:szCs w:val="24"/>
              </w:rPr>
              <w:t>研設會</w:t>
            </w:r>
          </w:p>
        </w:tc>
      </w:tr>
    </w:tbl>
    <w:p w:rsidR="00E32D03" w:rsidRPr="006F1333" w:rsidRDefault="00E32D03" w:rsidP="004D0554">
      <w:pPr>
        <w:spacing w:line="360" w:lineRule="exact"/>
        <w:rPr>
          <w:rFonts w:ascii="Times New Roman" w:eastAsia="標楷體" w:hAnsi="Times New Roman" w:cs="Times New Roman"/>
        </w:rPr>
      </w:pPr>
    </w:p>
    <w:sectPr w:rsidR="00E32D03" w:rsidRPr="006F1333" w:rsidSect="004D0554">
      <w:pgSz w:w="11906" w:h="16838"/>
      <w:pgMar w:top="720" w:right="102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261" w:rsidRDefault="002F2261" w:rsidP="00501C40">
      <w:r>
        <w:separator/>
      </w:r>
    </w:p>
  </w:endnote>
  <w:endnote w:type="continuationSeparator" w:id="0">
    <w:p w:rsidR="002F2261" w:rsidRDefault="002F2261" w:rsidP="0050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261" w:rsidRDefault="002F2261" w:rsidP="00501C40">
      <w:r>
        <w:separator/>
      </w:r>
    </w:p>
  </w:footnote>
  <w:footnote w:type="continuationSeparator" w:id="0">
    <w:p w:rsidR="002F2261" w:rsidRDefault="002F2261" w:rsidP="00501C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3D8"/>
    <w:multiLevelType w:val="hybridMultilevel"/>
    <w:tmpl w:val="EAEE3F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461E2"/>
    <w:multiLevelType w:val="hybridMultilevel"/>
    <w:tmpl w:val="1EDC4554"/>
    <w:lvl w:ilvl="0" w:tplc="9FC26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0A5D53"/>
    <w:multiLevelType w:val="hybridMultilevel"/>
    <w:tmpl w:val="E39C9DA8"/>
    <w:lvl w:ilvl="0" w:tplc="E604E3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4438AB"/>
    <w:multiLevelType w:val="hybridMultilevel"/>
    <w:tmpl w:val="9F8AFAFE"/>
    <w:lvl w:ilvl="0" w:tplc="94CE4F4C">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045539"/>
    <w:multiLevelType w:val="hybridMultilevel"/>
    <w:tmpl w:val="CC8ED960"/>
    <w:lvl w:ilvl="0" w:tplc="2B5E31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ED5ECF"/>
    <w:multiLevelType w:val="hybridMultilevel"/>
    <w:tmpl w:val="D88C06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A5477B"/>
    <w:multiLevelType w:val="hybridMultilevel"/>
    <w:tmpl w:val="0F5A301C"/>
    <w:lvl w:ilvl="0" w:tplc="39BE77A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3627C2"/>
    <w:multiLevelType w:val="hybridMultilevel"/>
    <w:tmpl w:val="CC8ED960"/>
    <w:lvl w:ilvl="0" w:tplc="2B5E31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6"/>
  </w:num>
  <w:num w:numId="4">
    <w:abstractNumId w:val="4"/>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D8"/>
    <w:rsid w:val="000069AE"/>
    <w:rsid w:val="00007048"/>
    <w:rsid w:val="00011B52"/>
    <w:rsid w:val="00021148"/>
    <w:rsid w:val="000609CC"/>
    <w:rsid w:val="00061F28"/>
    <w:rsid w:val="000640DC"/>
    <w:rsid w:val="00077BE4"/>
    <w:rsid w:val="00084079"/>
    <w:rsid w:val="000A3981"/>
    <w:rsid w:val="000A7F13"/>
    <w:rsid w:val="000B1C2D"/>
    <w:rsid w:val="000B4D60"/>
    <w:rsid w:val="000C1F9D"/>
    <w:rsid w:val="000C40F6"/>
    <w:rsid w:val="000C4159"/>
    <w:rsid w:val="000D5933"/>
    <w:rsid w:val="000D70FB"/>
    <w:rsid w:val="000E5715"/>
    <w:rsid w:val="000F1B4E"/>
    <w:rsid w:val="000F2D15"/>
    <w:rsid w:val="000F4CE5"/>
    <w:rsid w:val="000F5FDF"/>
    <w:rsid w:val="0010186B"/>
    <w:rsid w:val="00101C7F"/>
    <w:rsid w:val="00101DF1"/>
    <w:rsid w:val="00110999"/>
    <w:rsid w:val="0011351D"/>
    <w:rsid w:val="001177D1"/>
    <w:rsid w:val="001206A6"/>
    <w:rsid w:val="00120E50"/>
    <w:rsid w:val="0012635A"/>
    <w:rsid w:val="001338B7"/>
    <w:rsid w:val="00133C68"/>
    <w:rsid w:val="00133DF5"/>
    <w:rsid w:val="00143822"/>
    <w:rsid w:val="00145A85"/>
    <w:rsid w:val="001507EB"/>
    <w:rsid w:val="00163587"/>
    <w:rsid w:val="0017392D"/>
    <w:rsid w:val="00180318"/>
    <w:rsid w:val="00181359"/>
    <w:rsid w:val="00191122"/>
    <w:rsid w:val="001919F0"/>
    <w:rsid w:val="00191F1F"/>
    <w:rsid w:val="00195202"/>
    <w:rsid w:val="001A0DA2"/>
    <w:rsid w:val="001A3335"/>
    <w:rsid w:val="001B0C6D"/>
    <w:rsid w:val="001E207C"/>
    <w:rsid w:val="001F49C7"/>
    <w:rsid w:val="00200A37"/>
    <w:rsid w:val="00210997"/>
    <w:rsid w:val="00214534"/>
    <w:rsid w:val="00231461"/>
    <w:rsid w:val="00235A42"/>
    <w:rsid w:val="00245A49"/>
    <w:rsid w:val="0026013B"/>
    <w:rsid w:val="002614D9"/>
    <w:rsid w:val="002732BF"/>
    <w:rsid w:val="00284BB2"/>
    <w:rsid w:val="00290A14"/>
    <w:rsid w:val="002927A8"/>
    <w:rsid w:val="00292EE1"/>
    <w:rsid w:val="002975CB"/>
    <w:rsid w:val="002A2C23"/>
    <w:rsid w:val="002A4B5E"/>
    <w:rsid w:val="002A4BFE"/>
    <w:rsid w:val="002A7E61"/>
    <w:rsid w:val="002B0E53"/>
    <w:rsid w:val="002B73AB"/>
    <w:rsid w:val="002C1118"/>
    <w:rsid w:val="002C66BC"/>
    <w:rsid w:val="002D47AE"/>
    <w:rsid w:val="002E10E5"/>
    <w:rsid w:val="002F0CC9"/>
    <w:rsid w:val="002F2261"/>
    <w:rsid w:val="002F5CF0"/>
    <w:rsid w:val="002F646F"/>
    <w:rsid w:val="00301EA2"/>
    <w:rsid w:val="00310510"/>
    <w:rsid w:val="00326FB3"/>
    <w:rsid w:val="003274EF"/>
    <w:rsid w:val="00331079"/>
    <w:rsid w:val="00331F30"/>
    <w:rsid w:val="003352E9"/>
    <w:rsid w:val="003407F9"/>
    <w:rsid w:val="00343D6A"/>
    <w:rsid w:val="00350F2A"/>
    <w:rsid w:val="0035181F"/>
    <w:rsid w:val="00353601"/>
    <w:rsid w:val="003662C1"/>
    <w:rsid w:val="003717FE"/>
    <w:rsid w:val="00377063"/>
    <w:rsid w:val="00395358"/>
    <w:rsid w:val="003A0242"/>
    <w:rsid w:val="003A5762"/>
    <w:rsid w:val="003B2A43"/>
    <w:rsid w:val="003C1A46"/>
    <w:rsid w:val="003C2157"/>
    <w:rsid w:val="003C2D99"/>
    <w:rsid w:val="003D1B61"/>
    <w:rsid w:val="003D3B9F"/>
    <w:rsid w:val="003D3CF3"/>
    <w:rsid w:val="003D4261"/>
    <w:rsid w:val="003E64AC"/>
    <w:rsid w:val="003E6926"/>
    <w:rsid w:val="003F164A"/>
    <w:rsid w:val="003F4B3E"/>
    <w:rsid w:val="003F6FEC"/>
    <w:rsid w:val="0040275A"/>
    <w:rsid w:val="00402A8D"/>
    <w:rsid w:val="00402DDC"/>
    <w:rsid w:val="00404661"/>
    <w:rsid w:val="00404D70"/>
    <w:rsid w:val="00410619"/>
    <w:rsid w:val="00410974"/>
    <w:rsid w:val="00414850"/>
    <w:rsid w:val="00421739"/>
    <w:rsid w:val="00423D3F"/>
    <w:rsid w:val="00424F84"/>
    <w:rsid w:val="00425E09"/>
    <w:rsid w:val="00426612"/>
    <w:rsid w:val="00442096"/>
    <w:rsid w:val="0045552A"/>
    <w:rsid w:val="00461C65"/>
    <w:rsid w:val="004731A5"/>
    <w:rsid w:val="0047337B"/>
    <w:rsid w:val="00476459"/>
    <w:rsid w:val="00477BDC"/>
    <w:rsid w:val="004A0BD8"/>
    <w:rsid w:val="004A431F"/>
    <w:rsid w:val="004C3DB0"/>
    <w:rsid w:val="004C55A7"/>
    <w:rsid w:val="004C7B7E"/>
    <w:rsid w:val="004D0554"/>
    <w:rsid w:val="004D1BF8"/>
    <w:rsid w:val="004D1E77"/>
    <w:rsid w:val="004D32B6"/>
    <w:rsid w:val="004D59A6"/>
    <w:rsid w:val="004E48F8"/>
    <w:rsid w:val="004E7E48"/>
    <w:rsid w:val="004F64D5"/>
    <w:rsid w:val="00501C40"/>
    <w:rsid w:val="00503225"/>
    <w:rsid w:val="00504EB5"/>
    <w:rsid w:val="00510990"/>
    <w:rsid w:val="00510BD3"/>
    <w:rsid w:val="00510F1E"/>
    <w:rsid w:val="00512F8A"/>
    <w:rsid w:val="0051652C"/>
    <w:rsid w:val="00521D80"/>
    <w:rsid w:val="00527A3D"/>
    <w:rsid w:val="00540EC8"/>
    <w:rsid w:val="005439E6"/>
    <w:rsid w:val="00552669"/>
    <w:rsid w:val="00553866"/>
    <w:rsid w:val="00571FC2"/>
    <w:rsid w:val="00577605"/>
    <w:rsid w:val="00581D4A"/>
    <w:rsid w:val="00584331"/>
    <w:rsid w:val="00585FE4"/>
    <w:rsid w:val="00593813"/>
    <w:rsid w:val="00593DCD"/>
    <w:rsid w:val="00595548"/>
    <w:rsid w:val="00595B4C"/>
    <w:rsid w:val="005A3B6F"/>
    <w:rsid w:val="005A5158"/>
    <w:rsid w:val="005B1BC4"/>
    <w:rsid w:val="005C3DFD"/>
    <w:rsid w:val="005D12E9"/>
    <w:rsid w:val="005D615C"/>
    <w:rsid w:val="005E10D6"/>
    <w:rsid w:val="005E184A"/>
    <w:rsid w:val="005E7FE0"/>
    <w:rsid w:val="005F3B76"/>
    <w:rsid w:val="005F66FF"/>
    <w:rsid w:val="0060164E"/>
    <w:rsid w:val="006056FA"/>
    <w:rsid w:val="006063FF"/>
    <w:rsid w:val="00613679"/>
    <w:rsid w:val="00613D5D"/>
    <w:rsid w:val="006214D4"/>
    <w:rsid w:val="00637489"/>
    <w:rsid w:val="00643A1D"/>
    <w:rsid w:val="00645F7F"/>
    <w:rsid w:val="006461D1"/>
    <w:rsid w:val="006529EC"/>
    <w:rsid w:val="00652A93"/>
    <w:rsid w:val="00655CBB"/>
    <w:rsid w:val="0065725A"/>
    <w:rsid w:val="00660E83"/>
    <w:rsid w:val="00663965"/>
    <w:rsid w:val="0066551D"/>
    <w:rsid w:val="00674E00"/>
    <w:rsid w:val="006770EC"/>
    <w:rsid w:val="0068338E"/>
    <w:rsid w:val="00687680"/>
    <w:rsid w:val="006907C1"/>
    <w:rsid w:val="006917B1"/>
    <w:rsid w:val="006A126E"/>
    <w:rsid w:val="006B253C"/>
    <w:rsid w:val="006B460F"/>
    <w:rsid w:val="006B4ACF"/>
    <w:rsid w:val="006B736B"/>
    <w:rsid w:val="006C190C"/>
    <w:rsid w:val="006C401A"/>
    <w:rsid w:val="006D15CA"/>
    <w:rsid w:val="006D19C8"/>
    <w:rsid w:val="006D51EF"/>
    <w:rsid w:val="006E3B90"/>
    <w:rsid w:val="006E4847"/>
    <w:rsid w:val="006F1333"/>
    <w:rsid w:val="006F2D30"/>
    <w:rsid w:val="006F31C6"/>
    <w:rsid w:val="006F5130"/>
    <w:rsid w:val="007045B5"/>
    <w:rsid w:val="00704D36"/>
    <w:rsid w:val="00704F07"/>
    <w:rsid w:val="0070547F"/>
    <w:rsid w:val="00705661"/>
    <w:rsid w:val="007079AA"/>
    <w:rsid w:val="00711FEC"/>
    <w:rsid w:val="00712735"/>
    <w:rsid w:val="00721E02"/>
    <w:rsid w:val="00722E9A"/>
    <w:rsid w:val="00727416"/>
    <w:rsid w:val="00741505"/>
    <w:rsid w:val="007438BD"/>
    <w:rsid w:val="00744676"/>
    <w:rsid w:val="00755143"/>
    <w:rsid w:val="00756814"/>
    <w:rsid w:val="007718EF"/>
    <w:rsid w:val="00773F91"/>
    <w:rsid w:val="007845B0"/>
    <w:rsid w:val="00791F49"/>
    <w:rsid w:val="007A24EA"/>
    <w:rsid w:val="007A4108"/>
    <w:rsid w:val="007A7374"/>
    <w:rsid w:val="007C4FB7"/>
    <w:rsid w:val="007D1165"/>
    <w:rsid w:val="007D47C7"/>
    <w:rsid w:val="007D5C9E"/>
    <w:rsid w:val="007D6DC7"/>
    <w:rsid w:val="007D7A13"/>
    <w:rsid w:val="00801C6D"/>
    <w:rsid w:val="00802954"/>
    <w:rsid w:val="00807E88"/>
    <w:rsid w:val="00811E33"/>
    <w:rsid w:val="00820FCE"/>
    <w:rsid w:val="00827351"/>
    <w:rsid w:val="00827667"/>
    <w:rsid w:val="0084202F"/>
    <w:rsid w:val="00842C6B"/>
    <w:rsid w:val="00844532"/>
    <w:rsid w:val="0086560D"/>
    <w:rsid w:val="00865864"/>
    <w:rsid w:val="008673D8"/>
    <w:rsid w:val="0086758F"/>
    <w:rsid w:val="00875491"/>
    <w:rsid w:val="00880456"/>
    <w:rsid w:val="0088098B"/>
    <w:rsid w:val="00882E2B"/>
    <w:rsid w:val="00896A3A"/>
    <w:rsid w:val="008A018E"/>
    <w:rsid w:val="008A1B91"/>
    <w:rsid w:val="008A700E"/>
    <w:rsid w:val="008B0369"/>
    <w:rsid w:val="008B2ADA"/>
    <w:rsid w:val="008B7360"/>
    <w:rsid w:val="008C0634"/>
    <w:rsid w:val="008C0A5C"/>
    <w:rsid w:val="008C1D4A"/>
    <w:rsid w:val="008C1E98"/>
    <w:rsid w:val="008C33DC"/>
    <w:rsid w:val="008D72CA"/>
    <w:rsid w:val="008E46FD"/>
    <w:rsid w:val="008F2306"/>
    <w:rsid w:val="008F47FC"/>
    <w:rsid w:val="008F777F"/>
    <w:rsid w:val="00903600"/>
    <w:rsid w:val="00912594"/>
    <w:rsid w:val="00915935"/>
    <w:rsid w:val="0091623D"/>
    <w:rsid w:val="00931E2F"/>
    <w:rsid w:val="00933BB0"/>
    <w:rsid w:val="0093770B"/>
    <w:rsid w:val="00946F48"/>
    <w:rsid w:val="00955029"/>
    <w:rsid w:val="00956DB6"/>
    <w:rsid w:val="009611B1"/>
    <w:rsid w:val="009636CB"/>
    <w:rsid w:val="00966287"/>
    <w:rsid w:val="0096684E"/>
    <w:rsid w:val="00970DF9"/>
    <w:rsid w:val="00976F05"/>
    <w:rsid w:val="00980405"/>
    <w:rsid w:val="00980D9A"/>
    <w:rsid w:val="00981604"/>
    <w:rsid w:val="00982833"/>
    <w:rsid w:val="009900C6"/>
    <w:rsid w:val="0099113B"/>
    <w:rsid w:val="00992224"/>
    <w:rsid w:val="00992895"/>
    <w:rsid w:val="00994185"/>
    <w:rsid w:val="009B4C1B"/>
    <w:rsid w:val="009B5EF9"/>
    <w:rsid w:val="009B6773"/>
    <w:rsid w:val="009C2099"/>
    <w:rsid w:val="009D2F03"/>
    <w:rsid w:val="009D33A6"/>
    <w:rsid w:val="009D590A"/>
    <w:rsid w:val="009E45B9"/>
    <w:rsid w:val="009F067B"/>
    <w:rsid w:val="009F20FD"/>
    <w:rsid w:val="009F409C"/>
    <w:rsid w:val="009F498B"/>
    <w:rsid w:val="00A0119D"/>
    <w:rsid w:val="00A018B5"/>
    <w:rsid w:val="00A0490F"/>
    <w:rsid w:val="00A11F3A"/>
    <w:rsid w:val="00A140C8"/>
    <w:rsid w:val="00A14A9A"/>
    <w:rsid w:val="00A20554"/>
    <w:rsid w:val="00A20D94"/>
    <w:rsid w:val="00A26E11"/>
    <w:rsid w:val="00A307DF"/>
    <w:rsid w:val="00A3609C"/>
    <w:rsid w:val="00A37CF8"/>
    <w:rsid w:val="00A4522A"/>
    <w:rsid w:val="00A5187B"/>
    <w:rsid w:val="00A55F3D"/>
    <w:rsid w:val="00A62B65"/>
    <w:rsid w:val="00A73A63"/>
    <w:rsid w:val="00A74632"/>
    <w:rsid w:val="00A76D4D"/>
    <w:rsid w:val="00A77879"/>
    <w:rsid w:val="00A85B95"/>
    <w:rsid w:val="00A921FF"/>
    <w:rsid w:val="00AA0462"/>
    <w:rsid w:val="00AA4707"/>
    <w:rsid w:val="00AA53D2"/>
    <w:rsid w:val="00AA70CF"/>
    <w:rsid w:val="00AB0BD5"/>
    <w:rsid w:val="00AB58E9"/>
    <w:rsid w:val="00AB6439"/>
    <w:rsid w:val="00AC5479"/>
    <w:rsid w:val="00AF74CC"/>
    <w:rsid w:val="00B0563E"/>
    <w:rsid w:val="00B06A10"/>
    <w:rsid w:val="00B10147"/>
    <w:rsid w:val="00B133F7"/>
    <w:rsid w:val="00B15E77"/>
    <w:rsid w:val="00B20049"/>
    <w:rsid w:val="00B220A3"/>
    <w:rsid w:val="00B25D9F"/>
    <w:rsid w:val="00B27C59"/>
    <w:rsid w:val="00B32B20"/>
    <w:rsid w:val="00B44F65"/>
    <w:rsid w:val="00B527C6"/>
    <w:rsid w:val="00B538FA"/>
    <w:rsid w:val="00B578C8"/>
    <w:rsid w:val="00B67C84"/>
    <w:rsid w:val="00B7039E"/>
    <w:rsid w:val="00B70557"/>
    <w:rsid w:val="00B73E9D"/>
    <w:rsid w:val="00B75482"/>
    <w:rsid w:val="00B7667A"/>
    <w:rsid w:val="00B8528A"/>
    <w:rsid w:val="00B9366C"/>
    <w:rsid w:val="00B9588F"/>
    <w:rsid w:val="00B961E6"/>
    <w:rsid w:val="00BA129D"/>
    <w:rsid w:val="00BA3E66"/>
    <w:rsid w:val="00BA5442"/>
    <w:rsid w:val="00BB2320"/>
    <w:rsid w:val="00BB3EA5"/>
    <w:rsid w:val="00BB59FF"/>
    <w:rsid w:val="00BB7056"/>
    <w:rsid w:val="00BC6617"/>
    <w:rsid w:val="00C00762"/>
    <w:rsid w:val="00C0793F"/>
    <w:rsid w:val="00C07F30"/>
    <w:rsid w:val="00C11113"/>
    <w:rsid w:val="00C12955"/>
    <w:rsid w:val="00C24AD4"/>
    <w:rsid w:val="00C31B9C"/>
    <w:rsid w:val="00C36703"/>
    <w:rsid w:val="00C403D4"/>
    <w:rsid w:val="00C413F6"/>
    <w:rsid w:val="00C46FEF"/>
    <w:rsid w:val="00C533EC"/>
    <w:rsid w:val="00C5649F"/>
    <w:rsid w:val="00C56F43"/>
    <w:rsid w:val="00C60F91"/>
    <w:rsid w:val="00C629E0"/>
    <w:rsid w:val="00C74AF6"/>
    <w:rsid w:val="00C813B8"/>
    <w:rsid w:val="00C86D6A"/>
    <w:rsid w:val="00C94DD6"/>
    <w:rsid w:val="00C97394"/>
    <w:rsid w:val="00CA0434"/>
    <w:rsid w:val="00CA081D"/>
    <w:rsid w:val="00CB628E"/>
    <w:rsid w:val="00CC093F"/>
    <w:rsid w:val="00CC57A1"/>
    <w:rsid w:val="00CD4730"/>
    <w:rsid w:val="00CD50F3"/>
    <w:rsid w:val="00CF609F"/>
    <w:rsid w:val="00D240A0"/>
    <w:rsid w:val="00D33AB4"/>
    <w:rsid w:val="00D34F38"/>
    <w:rsid w:val="00D44108"/>
    <w:rsid w:val="00D47EB9"/>
    <w:rsid w:val="00D50D42"/>
    <w:rsid w:val="00D5162F"/>
    <w:rsid w:val="00D6107E"/>
    <w:rsid w:val="00D6274F"/>
    <w:rsid w:val="00D66C2B"/>
    <w:rsid w:val="00D72750"/>
    <w:rsid w:val="00D73B63"/>
    <w:rsid w:val="00D9174F"/>
    <w:rsid w:val="00D9297C"/>
    <w:rsid w:val="00D93201"/>
    <w:rsid w:val="00D949E8"/>
    <w:rsid w:val="00DA4849"/>
    <w:rsid w:val="00DA6643"/>
    <w:rsid w:val="00DB212A"/>
    <w:rsid w:val="00DB420C"/>
    <w:rsid w:val="00DD0DFC"/>
    <w:rsid w:val="00DD6CAA"/>
    <w:rsid w:val="00DF479E"/>
    <w:rsid w:val="00DF54F5"/>
    <w:rsid w:val="00E018B0"/>
    <w:rsid w:val="00E0534F"/>
    <w:rsid w:val="00E1455C"/>
    <w:rsid w:val="00E27CBB"/>
    <w:rsid w:val="00E31F75"/>
    <w:rsid w:val="00E32D03"/>
    <w:rsid w:val="00E34179"/>
    <w:rsid w:val="00E34409"/>
    <w:rsid w:val="00E405CA"/>
    <w:rsid w:val="00E40918"/>
    <w:rsid w:val="00E42160"/>
    <w:rsid w:val="00E551C3"/>
    <w:rsid w:val="00E576CB"/>
    <w:rsid w:val="00E57BA6"/>
    <w:rsid w:val="00E63B4A"/>
    <w:rsid w:val="00E66370"/>
    <w:rsid w:val="00E67526"/>
    <w:rsid w:val="00E74DB1"/>
    <w:rsid w:val="00E77C01"/>
    <w:rsid w:val="00E77F59"/>
    <w:rsid w:val="00E806F7"/>
    <w:rsid w:val="00E871AF"/>
    <w:rsid w:val="00E92841"/>
    <w:rsid w:val="00E932F4"/>
    <w:rsid w:val="00EA43FF"/>
    <w:rsid w:val="00EA4491"/>
    <w:rsid w:val="00EA46C4"/>
    <w:rsid w:val="00EA6A87"/>
    <w:rsid w:val="00EB014C"/>
    <w:rsid w:val="00EB4F7B"/>
    <w:rsid w:val="00EB7509"/>
    <w:rsid w:val="00EC3102"/>
    <w:rsid w:val="00EC3C73"/>
    <w:rsid w:val="00ED50A4"/>
    <w:rsid w:val="00ED6F3A"/>
    <w:rsid w:val="00EE339B"/>
    <w:rsid w:val="00EF4D6B"/>
    <w:rsid w:val="00EF61E2"/>
    <w:rsid w:val="00F058AE"/>
    <w:rsid w:val="00F07CE2"/>
    <w:rsid w:val="00F12AC5"/>
    <w:rsid w:val="00F17570"/>
    <w:rsid w:val="00F23027"/>
    <w:rsid w:val="00F244D5"/>
    <w:rsid w:val="00F31AF4"/>
    <w:rsid w:val="00F50FE6"/>
    <w:rsid w:val="00F511AD"/>
    <w:rsid w:val="00F5166C"/>
    <w:rsid w:val="00F51BC0"/>
    <w:rsid w:val="00F537E8"/>
    <w:rsid w:val="00F57114"/>
    <w:rsid w:val="00F61962"/>
    <w:rsid w:val="00F62CBF"/>
    <w:rsid w:val="00F642F3"/>
    <w:rsid w:val="00F86D6C"/>
    <w:rsid w:val="00F945E9"/>
    <w:rsid w:val="00FA6560"/>
    <w:rsid w:val="00FB1376"/>
    <w:rsid w:val="00FC2C04"/>
    <w:rsid w:val="00FC687A"/>
    <w:rsid w:val="00FC7D4C"/>
    <w:rsid w:val="00FD0DFD"/>
    <w:rsid w:val="00FD1102"/>
    <w:rsid w:val="00FD30C7"/>
    <w:rsid w:val="00FD413E"/>
    <w:rsid w:val="00FE4966"/>
    <w:rsid w:val="00FE7175"/>
    <w:rsid w:val="00FF0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69FF6B-4C6E-419C-94D4-B75F1D14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C40"/>
    <w:pPr>
      <w:tabs>
        <w:tab w:val="center" w:pos="4153"/>
        <w:tab w:val="right" w:pos="8306"/>
      </w:tabs>
      <w:snapToGrid w:val="0"/>
    </w:pPr>
    <w:rPr>
      <w:sz w:val="20"/>
      <w:szCs w:val="20"/>
    </w:rPr>
  </w:style>
  <w:style w:type="character" w:customStyle="1" w:styleId="a4">
    <w:name w:val="頁首 字元"/>
    <w:basedOn w:val="a0"/>
    <w:link w:val="a3"/>
    <w:uiPriority w:val="99"/>
    <w:rsid w:val="00501C40"/>
    <w:rPr>
      <w:sz w:val="20"/>
      <w:szCs w:val="20"/>
    </w:rPr>
  </w:style>
  <w:style w:type="paragraph" w:styleId="a5">
    <w:name w:val="footer"/>
    <w:basedOn w:val="a"/>
    <w:link w:val="a6"/>
    <w:uiPriority w:val="99"/>
    <w:unhideWhenUsed/>
    <w:rsid w:val="00501C40"/>
    <w:pPr>
      <w:tabs>
        <w:tab w:val="center" w:pos="4153"/>
        <w:tab w:val="right" w:pos="8306"/>
      </w:tabs>
      <w:snapToGrid w:val="0"/>
    </w:pPr>
    <w:rPr>
      <w:sz w:val="20"/>
      <w:szCs w:val="20"/>
    </w:rPr>
  </w:style>
  <w:style w:type="character" w:customStyle="1" w:styleId="a6">
    <w:name w:val="頁尾 字元"/>
    <w:basedOn w:val="a0"/>
    <w:link w:val="a5"/>
    <w:uiPriority w:val="99"/>
    <w:rsid w:val="00501C40"/>
    <w:rPr>
      <w:sz w:val="20"/>
      <w:szCs w:val="20"/>
    </w:rPr>
  </w:style>
  <w:style w:type="table" w:styleId="a7">
    <w:name w:val="Table Grid"/>
    <w:basedOn w:val="a1"/>
    <w:uiPriority w:val="39"/>
    <w:rsid w:val="0050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490F"/>
    <w:pPr>
      <w:ind w:leftChars="200" w:left="480"/>
    </w:pPr>
  </w:style>
  <w:style w:type="paragraph" w:styleId="a9">
    <w:name w:val="Balloon Text"/>
    <w:basedOn w:val="a"/>
    <w:link w:val="aa"/>
    <w:uiPriority w:val="99"/>
    <w:semiHidden/>
    <w:unhideWhenUsed/>
    <w:rsid w:val="00077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BE4"/>
    <w:rPr>
      <w:rFonts w:asciiTheme="majorHAnsi" w:eastAsiaTheme="majorEastAsia" w:hAnsiTheme="majorHAnsi" w:cstheme="majorBidi"/>
      <w:sz w:val="18"/>
      <w:szCs w:val="18"/>
    </w:rPr>
  </w:style>
  <w:style w:type="paragraph" w:customStyle="1" w:styleId="Default">
    <w:name w:val="Default"/>
    <w:rsid w:val="0040275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A2069-54AF-4DE8-B68A-782122C9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葉仁傑</dc:creator>
  <cp:keywords/>
  <dc:description/>
  <cp:lastModifiedBy>YF Chen</cp:lastModifiedBy>
  <cp:revision>2</cp:revision>
  <cp:lastPrinted>2023-11-30T02:11:00Z</cp:lastPrinted>
  <dcterms:created xsi:type="dcterms:W3CDTF">2023-12-18T06:47:00Z</dcterms:created>
  <dcterms:modified xsi:type="dcterms:W3CDTF">2023-12-18T06:47:00Z</dcterms:modified>
</cp:coreProperties>
</file>